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65" w:rsidRDefault="002534D4">
      <w:r>
        <w:t>Diverse Collections</w:t>
      </w:r>
      <w:r w:rsidR="00F9298C">
        <w:t xml:space="preserve"> by </w:t>
      </w:r>
      <w:proofErr w:type="spellStart"/>
      <w:r w:rsidR="00F9298C">
        <w:t>Abegail</w:t>
      </w:r>
      <w:proofErr w:type="spellEnd"/>
      <w:r w:rsidR="00F9298C">
        <w:t xml:space="preserve"> </w:t>
      </w:r>
      <w:proofErr w:type="spellStart"/>
      <w:r w:rsidR="00F9298C">
        <w:t>Bambao</w:t>
      </w:r>
      <w:proofErr w:type="spellEnd"/>
    </w:p>
    <w:p w:rsidR="002534D4" w:rsidRDefault="00F9298C">
      <w:pPr>
        <w:rPr>
          <w:u w:val="single"/>
        </w:rPr>
      </w:pPr>
      <w:r>
        <w:rPr>
          <w:u w:val="single"/>
        </w:rPr>
        <w:t xml:space="preserve">From </w:t>
      </w:r>
      <w:r w:rsidR="002534D4" w:rsidRPr="002534D4">
        <w:rPr>
          <w:u w:val="single"/>
        </w:rPr>
        <w:t>Library of Congress</w:t>
      </w:r>
    </w:p>
    <w:p w:rsidR="002534D4" w:rsidRPr="002534D4" w:rsidRDefault="002534D4" w:rsidP="002534D4">
      <w:pPr>
        <w:pStyle w:val="ListParagraph"/>
        <w:numPr>
          <w:ilvl w:val="0"/>
          <w:numId w:val="2"/>
        </w:numPr>
        <w:rPr>
          <w:b/>
          <w:u w:val="single"/>
        </w:rPr>
      </w:pPr>
      <w:r w:rsidRPr="002534D4">
        <w:rPr>
          <w:b/>
        </w:rPr>
        <w:t>Performing Arts Digital Collections</w:t>
      </w:r>
    </w:p>
    <w:p w:rsidR="002534D4" w:rsidRDefault="002534D4" w:rsidP="002534D4">
      <w:pPr>
        <w:pStyle w:val="NormalWeb"/>
        <w:numPr>
          <w:ilvl w:val="0"/>
          <w:numId w:val="3"/>
        </w:numPr>
        <w:jc w:val="both"/>
      </w:pPr>
      <w:r>
        <w:t>-The Performing Arts Reading Room is the access point for the vast and diverse collections in the custody of the Music Division at the Library of Congress. Numbering approximately 20.5 million items and spanning more than 1000 years of Western music history and practice, these holdings include the classified music and book collections, music and literary manuscripts, iconography, microforms, periodicals, musical instruments, published and unpublished copyright deposits, and close to 500 special collections in music, theater, and dance.</w:t>
      </w:r>
    </w:p>
    <w:p w:rsidR="002534D4" w:rsidRDefault="002534D4" w:rsidP="002534D4">
      <w:pPr>
        <w:pStyle w:val="NormalWeb"/>
        <w:numPr>
          <w:ilvl w:val="0"/>
          <w:numId w:val="3"/>
        </w:numPr>
        <w:jc w:val="both"/>
      </w:pPr>
      <w:hyperlink r:id="rId5" w:history="1">
        <w:r w:rsidRPr="002A0CBA">
          <w:rPr>
            <w:rStyle w:val="Hyperlink"/>
          </w:rPr>
          <w:t>http://www.loc.gov/rr/perform/</w:t>
        </w:r>
      </w:hyperlink>
    </w:p>
    <w:p w:rsidR="002534D4" w:rsidRPr="002534D4" w:rsidRDefault="002534D4" w:rsidP="002534D4">
      <w:pPr>
        <w:pStyle w:val="NormalWeb"/>
        <w:ind w:left="360"/>
        <w:jc w:val="both"/>
        <w:rPr>
          <w:b/>
        </w:rPr>
      </w:pPr>
    </w:p>
    <w:p w:rsidR="002534D4" w:rsidRPr="002534D4" w:rsidRDefault="002534D4" w:rsidP="002534D4">
      <w:pPr>
        <w:pStyle w:val="NormalWeb"/>
        <w:numPr>
          <w:ilvl w:val="0"/>
          <w:numId w:val="2"/>
        </w:numPr>
        <w:jc w:val="both"/>
        <w:rPr>
          <w:b/>
        </w:rPr>
      </w:pPr>
      <w:r w:rsidRPr="002534D4">
        <w:rPr>
          <w:b/>
        </w:rPr>
        <w:t xml:space="preserve"> The International Collections</w:t>
      </w:r>
    </w:p>
    <w:p w:rsidR="002534D4" w:rsidRDefault="002534D4" w:rsidP="002534D4">
      <w:pPr>
        <w:pStyle w:val="NormalWeb"/>
        <w:ind w:left="720"/>
        <w:jc w:val="both"/>
      </w:pPr>
      <w:r>
        <w:t>This section includes the diverse collections of:</w:t>
      </w:r>
    </w:p>
    <w:p w:rsidR="002534D4" w:rsidRDefault="002534D4" w:rsidP="002534D4">
      <w:pPr>
        <w:pStyle w:val="NormalWeb"/>
        <w:numPr>
          <w:ilvl w:val="0"/>
          <w:numId w:val="4"/>
        </w:numPr>
        <w:jc w:val="both"/>
      </w:pPr>
      <w:r>
        <w:t>African and Middle Easter Collections</w:t>
      </w:r>
    </w:p>
    <w:p w:rsidR="002534D4" w:rsidRDefault="002534D4" w:rsidP="002534D4">
      <w:pPr>
        <w:pStyle w:val="NormalWeb"/>
        <w:numPr>
          <w:ilvl w:val="0"/>
          <w:numId w:val="4"/>
        </w:numPr>
        <w:jc w:val="both"/>
      </w:pPr>
      <w:r>
        <w:t>Asian Collections</w:t>
      </w:r>
    </w:p>
    <w:p w:rsidR="002534D4" w:rsidRDefault="002534D4" w:rsidP="002534D4">
      <w:pPr>
        <w:pStyle w:val="NormalWeb"/>
        <w:numPr>
          <w:ilvl w:val="0"/>
          <w:numId w:val="4"/>
        </w:numPr>
        <w:jc w:val="both"/>
      </w:pPr>
      <w:r>
        <w:t>European Collections</w:t>
      </w:r>
    </w:p>
    <w:p w:rsidR="002534D4" w:rsidRDefault="002534D4" w:rsidP="002534D4">
      <w:pPr>
        <w:pStyle w:val="NormalWeb"/>
        <w:numPr>
          <w:ilvl w:val="0"/>
          <w:numId w:val="4"/>
        </w:numPr>
        <w:jc w:val="both"/>
      </w:pPr>
      <w:r>
        <w:t>Hispanic Collections</w:t>
      </w:r>
    </w:p>
    <w:p w:rsidR="002534D4" w:rsidRDefault="002534D4" w:rsidP="002534D4">
      <w:pPr>
        <w:pStyle w:val="NormalWeb"/>
        <w:numPr>
          <w:ilvl w:val="0"/>
          <w:numId w:val="4"/>
        </w:numPr>
        <w:jc w:val="both"/>
      </w:pPr>
      <w:r>
        <w:t>Specialized Research and Scholarly Programs</w:t>
      </w:r>
    </w:p>
    <w:p w:rsidR="002534D4" w:rsidRDefault="002534D4" w:rsidP="002534D4">
      <w:pPr>
        <w:pStyle w:val="NormalWeb"/>
        <w:numPr>
          <w:ilvl w:val="0"/>
          <w:numId w:val="4"/>
        </w:numPr>
        <w:jc w:val="both"/>
      </w:pPr>
      <w:r w:rsidRPr="002534D4">
        <w:t>http://www.loc.gov/rr/international/int-aboutcoll.html</w:t>
      </w:r>
    </w:p>
    <w:p w:rsidR="002534D4" w:rsidRPr="00F57DE2" w:rsidRDefault="002534D4" w:rsidP="002534D4">
      <w:pPr>
        <w:pStyle w:val="NormalWeb"/>
        <w:numPr>
          <w:ilvl w:val="0"/>
          <w:numId w:val="2"/>
        </w:numPr>
        <w:jc w:val="both"/>
        <w:rPr>
          <w:b/>
        </w:rPr>
      </w:pPr>
      <w:r w:rsidRPr="00F57DE2">
        <w:rPr>
          <w:b/>
        </w:rPr>
        <w:t>Science and Technology Collections</w:t>
      </w:r>
    </w:p>
    <w:p w:rsidR="002534D4" w:rsidRPr="00680B70" w:rsidRDefault="002534D4" w:rsidP="002534D4">
      <w:pPr>
        <w:pStyle w:val="NormalWeb"/>
        <w:numPr>
          <w:ilvl w:val="0"/>
          <w:numId w:val="5"/>
        </w:numPr>
        <w:jc w:val="both"/>
      </w:pPr>
      <w:r>
        <w:rPr>
          <w:rFonts w:ascii="Verdana" w:hAnsi="Verdana"/>
          <w:color w:val="000000"/>
          <w:sz w:val="17"/>
          <w:szCs w:val="17"/>
        </w:rPr>
        <w:t>The Library collects materials in all areas of science and technology with the exception of clinical medicine and technical agriculture, which are subject specialties of the National Library of Medicine and the National Agricultural Library.</w:t>
      </w:r>
    </w:p>
    <w:p w:rsidR="00680B70" w:rsidRPr="00680B70" w:rsidRDefault="00680B70" w:rsidP="00680B70">
      <w:pPr>
        <w:pStyle w:val="ListParagraph"/>
        <w:numPr>
          <w:ilvl w:val="0"/>
          <w:numId w:val="5"/>
        </w:numPr>
        <w:shd w:val="clear" w:color="auto" w:fill="FFFFFF"/>
        <w:spacing w:before="125" w:after="125" w:line="300" w:lineRule="auto"/>
        <w:ind w:right="125"/>
        <w:rPr>
          <w:rFonts w:ascii="Verdana" w:eastAsia="Times New Roman" w:hAnsi="Verdana" w:cs="Times New Roman"/>
          <w:color w:val="000000"/>
          <w:sz w:val="17"/>
          <w:szCs w:val="17"/>
        </w:rPr>
      </w:pPr>
      <w:r w:rsidRPr="00680B70">
        <w:rPr>
          <w:rFonts w:ascii="Verdana" w:eastAsia="Times New Roman" w:hAnsi="Verdana" w:cs="Times New Roman"/>
          <w:color w:val="000000"/>
          <w:sz w:val="17"/>
          <w:szCs w:val="17"/>
        </w:rPr>
        <w:t>The vast Scope of the subject areas encompassed by the terms science and technology are contained in four major subject classes, Q (Science), R (Medicine), S (Agriculture), and T (Technology). In addition, a large amount of scientific and technical information is found in several other classes, such as parts of class B (psychology), G (Geography, Oceanography, Anthropology), H (Statistics, Transportation, Drug Abuse, Alcoholism), N (Architecture), U (Military Science, V (Naval Science), and Z (Library and Information Science).</w:t>
      </w:r>
    </w:p>
    <w:p w:rsidR="00680B70" w:rsidRPr="00680B70" w:rsidRDefault="00680B70" w:rsidP="00680B70">
      <w:pPr>
        <w:pStyle w:val="ListParagraph"/>
        <w:numPr>
          <w:ilvl w:val="0"/>
          <w:numId w:val="5"/>
        </w:numPr>
        <w:shd w:val="clear" w:color="auto" w:fill="FFFFFF"/>
        <w:spacing w:before="125" w:after="125" w:line="300" w:lineRule="auto"/>
        <w:ind w:right="125"/>
        <w:rPr>
          <w:rFonts w:ascii="Verdana" w:eastAsia="Times New Roman" w:hAnsi="Verdana" w:cs="Times New Roman"/>
          <w:color w:val="000000"/>
          <w:sz w:val="17"/>
          <w:szCs w:val="17"/>
        </w:rPr>
      </w:pPr>
      <w:r w:rsidRPr="00680B70">
        <w:rPr>
          <w:rFonts w:ascii="Verdana" w:eastAsia="Times New Roman" w:hAnsi="Verdana" w:cs="Times New Roman"/>
          <w:color w:val="000000"/>
          <w:sz w:val="17"/>
          <w:szCs w:val="17"/>
        </w:rPr>
        <w:t xml:space="preserve">Finally, there is a significant amount of scientific and technical information in the Library's special collections. The comprehensive and voluminous collection of maps and related publications in geography make the Geography and Map Division the premier American location for geographic and cartographic research. </w:t>
      </w:r>
    </w:p>
    <w:p w:rsidR="00680B70" w:rsidRDefault="00680B70" w:rsidP="00680B70">
      <w:pPr>
        <w:pStyle w:val="ListParagraph"/>
        <w:shd w:val="clear" w:color="auto" w:fill="FFFFFF"/>
        <w:spacing w:before="125" w:after="125" w:line="300" w:lineRule="auto"/>
        <w:ind w:left="1440" w:right="125"/>
        <w:outlineLvl w:val="3"/>
        <w:rPr>
          <w:rFonts w:ascii="Georgia" w:eastAsia="Times New Roman" w:hAnsi="Georgia" w:cs="Times New Roman"/>
          <w:b/>
          <w:bCs/>
          <w:color w:val="000000"/>
          <w:sz w:val="20"/>
          <w:szCs w:val="20"/>
        </w:rPr>
      </w:pPr>
      <w:bookmarkStart w:id="0" w:name="size"/>
      <w:bookmarkEnd w:id="0"/>
    </w:p>
    <w:p w:rsidR="00680B70" w:rsidRPr="00680B70" w:rsidRDefault="00680B70" w:rsidP="00680B70">
      <w:pPr>
        <w:pStyle w:val="ListParagraph"/>
        <w:shd w:val="clear" w:color="auto" w:fill="FFFFFF"/>
        <w:spacing w:before="125" w:after="125" w:line="300" w:lineRule="auto"/>
        <w:ind w:left="1440" w:right="125"/>
        <w:outlineLvl w:val="3"/>
        <w:rPr>
          <w:rFonts w:ascii="Georgia" w:eastAsia="Times New Roman" w:hAnsi="Georgia" w:cs="Times New Roman"/>
          <w:b/>
          <w:bCs/>
          <w:color w:val="000000"/>
          <w:sz w:val="20"/>
          <w:szCs w:val="20"/>
        </w:rPr>
      </w:pPr>
      <w:r w:rsidRPr="00680B70">
        <w:rPr>
          <w:rFonts w:ascii="Georgia" w:eastAsia="Times New Roman" w:hAnsi="Georgia" w:cs="Times New Roman"/>
          <w:b/>
          <w:bCs/>
          <w:color w:val="000000"/>
          <w:sz w:val="20"/>
          <w:szCs w:val="20"/>
        </w:rPr>
        <w:t>Size</w:t>
      </w:r>
    </w:p>
    <w:p w:rsidR="00680B70" w:rsidRPr="00680B70" w:rsidRDefault="00680B70" w:rsidP="00680B70">
      <w:pPr>
        <w:pStyle w:val="ListParagraph"/>
        <w:numPr>
          <w:ilvl w:val="0"/>
          <w:numId w:val="5"/>
        </w:numPr>
        <w:shd w:val="clear" w:color="auto" w:fill="FFFFFF"/>
        <w:spacing w:before="125" w:after="125" w:line="300" w:lineRule="auto"/>
        <w:ind w:right="125"/>
        <w:rPr>
          <w:rFonts w:ascii="Verdana" w:eastAsia="Times New Roman" w:hAnsi="Verdana" w:cs="Times New Roman"/>
          <w:color w:val="000000"/>
          <w:sz w:val="17"/>
          <w:szCs w:val="17"/>
        </w:rPr>
      </w:pPr>
      <w:r w:rsidRPr="00680B70">
        <w:rPr>
          <w:rFonts w:ascii="Verdana" w:eastAsia="Times New Roman" w:hAnsi="Verdana" w:cs="Times New Roman"/>
          <w:color w:val="000000"/>
          <w:sz w:val="17"/>
          <w:szCs w:val="17"/>
        </w:rPr>
        <w:t xml:space="preserve">The Library of Congress has one of the largest and most diverse collections of scientific and technical information in the world. Such materials make up roughly one-fourth of its total book and journal collection. If one were to read ten books a day for a thousand years, one would not have exhausted the Library's scientific resources. As of September 1992, the Library's S&amp;T collections contained four million books (volumes) and 61,000 </w:t>
      </w:r>
      <w:r w:rsidRPr="00680B70">
        <w:rPr>
          <w:rFonts w:ascii="Verdana" w:eastAsia="Times New Roman" w:hAnsi="Verdana" w:cs="Times New Roman"/>
          <w:color w:val="000000"/>
          <w:sz w:val="17"/>
          <w:szCs w:val="17"/>
        </w:rPr>
        <w:lastRenderedPageBreak/>
        <w:t>journals. Materials are collected worldwide, and the majority of the collection is in English and major European languages. In addition, the Library has a very extensive collection of some 4.4 million foreign and domestic technical reports and standards.</w:t>
      </w:r>
    </w:p>
    <w:p w:rsidR="00680B70" w:rsidRDefault="00680B70" w:rsidP="00F9298C">
      <w:pPr>
        <w:pStyle w:val="NormalWeb"/>
        <w:ind w:left="1440"/>
        <w:jc w:val="both"/>
      </w:pPr>
    </w:p>
    <w:p w:rsidR="002534D4" w:rsidRPr="002534D4" w:rsidRDefault="002534D4" w:rsidP="002534D4">
      <w:pPr>
        <w:ind w:left="1080"/>
      </w:pPr>
    </w:p>
    <w:p w:rsidR="009B7D8B" w:rsidRDefault="009B7D8B"/>
    <w:p w:rsidR="009B7D8B" w:rsidRDefault="009B7D8B" w:rsidP="002534D4"/>
    <w:sectPr w:rsidR="009B7D8B" w:rsidSect="00E905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C4736"/>
    <w:multiLevelType w:val="hybridMultilevel"/>
    <w:tmpl w:val="33525E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A0217B4"/>
    <w:multiLevelType w:val="hybridMultilevel"/>
    <w:tmpl w:val="2D20A20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0DA76B21"/>
    <w:multiLevelType w:val="hybridMultilevel"/>
    <w:tmpl w:val="357C4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98F7D20"/>
    <w:multiLevelType w:val="hybridMultilevel"/>
    <w:tmpl w:val="52BA11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92500A3"/>
    <w:multiLevelType w:val="hybridMultilevel"/>
    <w:tmpl w:val="FBA6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9B7D8B"/>
    <w:rsid w:val="002534D4"/>
    <w:rsid w:val="00275BEE"/>
    <w:rsid w:val="00442F8E"/>
    <w:rsid w:val="00680B70"/>
    <w:rsid w:val="009B7D8B"/>
    <w:rsid w:val="00E9053D"/>
    <w:rsid w:val="00F57DE2"/>
    <w:rsid w:val="00F9298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05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7D8B"/>
    <w:pPr>
      <w:ind w:left="720"/>
      <w:contextualSpacing/>
    </w:pPr>
  </w:style>
  <w:style w:type="paragraph" w:styleId="NormalWeb">
    <w:name w:val="Normal (Web)"/>
    <w:basedOn w:val="Normal"/>
    <w:uiPriority w:val="99"/>
    <w:semiHidden/>
    <w:unhideWhenUsed/>
    <w:rsid w:val="002534D4"/>
    <w:pPr>
      <w:spacing w:before="100" w:beforeAutospacing="1" w:after="100" w:afterAutospacing="1" w:line="240" w:lineRule="auto"/>
    </w:pPr>
    <w:rPr>
      <w:rFonts w:ascii="Arial" w:eastAsia="Times New Roman" w:hAnsi="Arial" w:cs="Arial"/>
      <w:color w:val="333333"/>
      <w:sz w:val="20"/>
      <w:szCs w:val="20"/>
    </w:rPr>
  </w:style>
  <w:style w:type="character" w:styleId="Hyperlink">
    <w:name w:val="Hyperlink"/>
    <w:basedOn w:val="DefaultParagraphFont"/>
    <w:uiPriority w:val="99"/>
    <w:unhideWhenUsed/>
    <w:rsid w:val="002534D4"/>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25329334">
      <w:bodyDiv w:val="1"/>
      <w:marLeft w:val="0"/>
      <w:marRight w:val="0"/>
      <w:marTop w:val="0"/>
      <w:marBottom w:val="0"/>
      <w:divBdr>
        <w:top w:val="none" w:sz="0" w:space="0" w:color="auto"/>
        <w:left w:val="none" w:sz="0" w:space="0" w:color="auto"/>
        <w:bottom w:val="none" w:sz="0" w:space="0" w:color="auto"/>
        <w:right w:val="none" w:sz="0" w:space="0" w:color="auto"/>
      </w:divBdr>
      <w:divsChild>
        <w:div w:id="1620068455">
          <w:marLeft w:val="0"/>
          <w:marRight w:val="0"/>
          <w:marTop w:val="0"/>
          <w:marBottom w:val="0"/>
          <w:divBdr>
            <w:top w:val="single" w:sz="4" w:space="0" w:color="999999"/>
            <w:left w:val="single" w:sz="4" w:space="0" w:color="999999"/>
            <w:bottom w:val="single" w:sz="4" w:space="0" w:color="999999"/>
            <w:right w:val="single" w:sz="4" w:space="0" w:color="999999"/>
          </w:divBdr>
          <w:divsChild>
            <w:div w:id="892354667">
              <w:marLeft w:val="125"/>
              <w:marRight w:val="125"/>
              <w:marTop w:val="125"/>
              <w:marBottom w:val="125"/>
              <w:divBdr>
                <w:top w:val="none" w:sz="0" w:space="0" w:color="auto"/>
                <w:left w:val="none" w:sz="0" w:space="0" w:color="auto"/>
                <w:bottom w:val="none" w:sz="0" w:space="0" w:color="auto"/>
                <w:right w:val="none" w:sz="0" w:space="0" w:color="auto"/>
              </w:divBdr>
              <w:divsChild>
                <w:div w:id="557282877">
                  <w:marLeft w:val="2605"/>
                  <w:marRight w:val="0"/>
                  <w:marTop w:val="0"/>
                  <w:marBottom w:val="0"/>
                  <w:divBdr>
                    <w:top w:val="none" w:sz="0" w:space="0" w:color="auto"/>
                    <w:left w:val="none" w:sz="0" w:space="0" w:color="auto"/>
                    <w:bottom w:val="none" w:sz="0" w:space="0" w:color="auto"/>
                    <w:right w:val="none" w:sz="0" w:space="0" w:color="auto"/>
                  </w:divBdr>
                  <w:divsChild>
                    <w:div w:id="73480360">
                      <w:marLeft w:val="0"/>
                      <w:marRight w:val="0"/>
                      <w:marTop w:val="0"/>
                      <w:marBottom w:val="0"/>
                      <w:divBdr>
                        <w:top w:val="single" w:sz="4" w:space="0" w:color="D4E9FF"/>
                        <w:left w:val="single" w:sz="4" w:space="0" w:color="D4E9FF"/>
                        <w:bottom w:val="single" w:sz="4" w:space="0" w:color="D4E9FF"/>
                        <w:right w:val="single" w:sz="4" w:space="0" w:color="D4E9FF"/>
                      </w:divBdr>
                    </w:div>
                  </w:divsChild>
                </w:div>
              </w:divsChild>
            </w:div>
          </w:divsChild>
        </w:div>
      </w:divsChild>
    </w:div>
    <w:div w:id="1475028366">
      <w:bodyDiv w:val="1"/>
      <w:marLeft w:val="0"/>
      <w:marRight w:val="0"/>
      <w:marTop w:val="0"/>
      <w:marBottom w:val="0"/>
      <w:divBdr>
        <w:top w:val="none" w:sz="0" w:space="0" w:color="auto"/>
        <w:left w:val="none" w:sz="0" w:space="0" w:color="auto"/>
        <w:bottom w:val="none" w:sz="0" w:space="0" w:color="auto"/>
        <w:right w:val="none" w:sz="0" w:space="0" w:color="auto"/>
      </w:divBdr>
      <w:divsChild>
        <w:div w:id="1391270065">
          <w:marLeft w:val="0"/>
          <w:marRight w:val="0"/>
          <w:marTop w:val="0"/>
          <w:marBottom w:val="0"/>
          <w:divBdr>
            <w:top w:val="single" w:sz="4" w:space="0" w:color="999999"/>
            <w:left w:val="single" w:sz="4" w:space="0" w:color="999999"/>
            <w:bottom w:val="single" w:sz="4" w:space="0" w:color="999999"/>
            <w:right w:val="single" w:sz="4" w:space="0" w:color="999999"/>
          </w:divBdr>
          <w:divsChild>
            <w:div w:id="356470188">
              <w:marLeft w:val="125"/>
              <w:marRight w:val="125"/>
              <w:marTop w:val="125"/>
              <w:marBottom w:val="125"/>
              <w:divBdr>
                <w:top w:val="none" w:sz="0" w:space="0" w:color="auto"/>
                <w:left w:val="none" w:sz="0" w:space="0" w:color="auto"/>
                <w:bottom w:val="none" w:sz="0" w:space="0" w:color="auto"/>
                <w:right w:val="none" w:sz="0" w:space="0" w:color="auto"/>
              </w:divBdr>
              <w:divsChild>
                <w:div w:id="1980842436">
                  <w:marLeft w:val="2605"/>
                  <w:marRight w:val="0"/>
                  <w:marTop w:val="0"/>
                  <w:marBottom w:val="0"/>
                  <w:divBdr>
                    <w:top w:val="none" w:sz="0" w:space="0" w:color="auto"/>
                    <w:left w:val="none" w:sz="0" w:space="0" w:color="auto"/>
                    <w:bottom w:val="none" w:sz="0" w:space="0" w:color="auto"/>
                    <w:right w:val="none" w:sz="0" w:space="0" w:color="auto"/>
                  </w:divBdr>
                  <w:divsChild>
                    <w:div w:id="1974014650">
                      <w:marLeft w:val="0"/>
                      <w:marRight w:val="0"/>
                      <w:marTop w:val="0"/>
                      <w:marBottom w:val="0"/>
                      <w:divBdr>
                        <w:top w:val="single" w:sz="4" w:space="0" w:color="D4E9FF"/>
                        <w:left w:val="single" w:sz="4" w:space="0" w:color="D4E9FF"/>
                        <w:bottom w:val="single" w:sz="4" w:space="0" w:color="D4E9FF"/>
                        <w:right w:val="single" w:sz="4" w:space="0" w:color="D4E9FF"/>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loc.gov/rr/perfor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129</TotalTime>
  <Pages>2</Pages>
  <Words>422</Words>
  <Characters>2406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2010-02-14T13:54:00Z</dcterms:created>
  <dcterms:modified xsi:type="dcterms:W3CDTF">2010-02-14T16:03:00Z</dcterms:modified>
</cp:coreProperties>
</file>